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EF7D0" w14:textId="77777777" w:rsidR="004B2167" w:rsidRDefault="004B2167">
      <w:pPr>
        <w:widowControl w:val="0"/>
        <w:pBdr>
          <w:top w:val="nil"/>
          <w:left w:val="nil"/>
          <w:bottom w:val="nil"/>
          <w:right w:val="nil"/>
          <w:between w:val="nil"/>
        </w:pBdr>
        <w:spacing w:after="0" w:line="240" w:lineRule="auto"/>
        <w:rPr>
          <w:rFonts w:ascii="Arial" w:eastAsia="Arial" w:hAnsi="Arial" w:cs="Arial"/>
          <w:color w:val="000000"/>
        </w:rPr>
      </w:pPr>
    </w:p>
    <w:p w14:paraId="5AB5AB58" w14:textId="77777777" w:rsidR="004B2167" w:rsidRDefault="004B2167">
      <w:pPr>
        <w:widowControl w:val="0"/>
        <w:pBdr>
          <w:top w:val="nil"/>
          <w:left w:val="nil"/>
          <w:bottom w:val="nil"/>
          <w:right w:val="nil"/>
          <w:between w:val="nil"/>
        </w:pBdr>
        <w:spacing w:after="0" w:line="240" w:lineRule="auto"/>
        <w:rPr>
          <w:rFonts w:ascii="Arial" w:eastAsia="Arial" w:hAnsi="Arial" w:cs="Arial"/>
          <w:color w:val="000000"/>
        </w:rPr>
      </w:pPr>
    </w:p>
    <w:p w14:paraId="067B456F" w14:textId="77777777" w:rsidR="004B2167" w:rsidRDefault="004B2167">
      <w:pPr>
        <w:widowControl w:val="0"/>
        <w:pBdr>
          <w:top w:val="nil"/>
          <w:left w:val="nil"/>
          <w:bottom w:val="nil"/>
          <w:right w:val="nil"/>
          <w:between w:val="nil"/>
        </w:pBdr>
        <w:spacing w:after="0" w:line="240" w:lineRule="auto"/>
        <w:rPr>
          <w:rFonts w:ascii="Arial" w:eastAsia="Arial" w:hAnsi="Arial" w:cs="Arial"/>
          <w:color w:val="000000"/>
        </w:rPr>
      </w:pPr>
    </w:p>
    <w:p w14:paraId="42236D78" w14:textId="77777777" w:rsidR="004B2167" w:rsidRDefault="00B16312">
      <w:pPr>
        <w:widowControl w:val="0"/>
        <w:pBdr>
          <w:top w:val="nil"/>
          <w:left w:val="nil"/>
          <w:bottom w:val="nil"/>
          <w:right w:val="nil"/>
          <w:between w:val="nil"/>
        </w:pBdr>
        <w:spacing w:before="200" w:after="0" w:line="240" w:lineRule="auto"/>
        <w:rPr>
          <w:rFonts w:ascii="Arial" w:eastAsia="Arial" w:hAnsi="Arial" w:cs="Arial"/>
          <w:b/>
          <w:color w:val="000000"/>
        </w:rPr>
      </w:pPr>
      <w:r>
        <w:rPr>
          <w:rFonts w:ascii="Arial" w:eastAsia="Arial" w:hAnsi="Arial" w:cs="Arial"/>
          <w:b/>
          <w:color w:val="000000"/>
        </w:rPr>
        <w:t xml:space="preserve">Rutland County Council </w:t>
      </w:r>
    </w:p>
    <w:p w14:paraId="642B6CA2" w14:textId="77777777" w:rsidR="004B2167" w:rsidRDefault="00B16312">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Section 21 of the Town Police Clauses Act 1847 (TPCA 1847)</w:t>
      </w:r>
    </w:p>
    <w:p w14:paraId="70F36D19" w14:textId="77777777" w:rsidR="004B2167" w:rsidRDefault="00B163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w:t>
      </w:r>
    </w:p>
    <w:p w14:paraId="45AD47A6" w14:textId="77777777" w:rsidR="004B2167" w:rsidRDefault="00B163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TEMPORARY TRAFFIC REGULATION ORDER (North Luffenham Road, Parish of </w:t>
      </w:r>
      <w:proofErr w:type="spellStart"/>
      <w:r>
        <w:rPr>
          <w:rFonts w:ascii="Arial" w:eastAsia="Arial" w:hAnsi="Arial" w:cs="Arial"/>
          <w:b/>
          <w:color w:val="000000"/>
        </w:rPr>
        <w:t>Morcott</w:t>
      </w:r>
      <w:proofErr w:type="spellEnd"/>
      <w:r>
        <w:rPr>
          <w:rFonts w:ascii="Arial" w:eastAsia="Arial" w:hAnsi="Arial" w:cs="Arial"/>
          <w:b/>
          <w:color w:val="000000"/>
        </w:rPr>
        <w:t>)</w:t>
      </w:r>
      <w:r>
        <w:rPr>
          <w:rFonts w:ascii="Arial" w:eastAsia="Arial" w:hAnsi="Arial" w:cs="Arial"/>
          <w:color w:val="000000"/>
        </w:rPr>
        <w:t xml:space="preserve"> (Order)</w:t>
      </w:r>
      <w:r>
        <w:rPr>
          <w:rFonts w:ascii="Arial" w:eastAsia="Arial" w:hAnsi="Arial" w:cs="Arial"/>
          <w:color w:val="000000"/>
        </w:rPr>
        <w:br/>
      </w:r>
    </w:p>
    <w:p w14:paraId="23A296FB" w14:textId="77777777" w:rsidR="004B2167" w:rsidRDefault="00B163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1.</w:t>
      </w:r>
      <w:r>
        <w:rPr>
          <w:rFonts w:ascii="Arial" w:eastAsia="Arial" w:hAnsi="Arial" w:cs="Arial"/>
          <w:color w:val="000000"/>
        </w:rPr>
        <w:t xml:space="preserve">  Rutland County Council District Council (Council) gives notice that it has made an Order under section 21 of the TPCA 1847 and any other enabling powers over an area of the highway being closed at North Luffenham Road, </w:t>
      </w:r>
      <w:proofErr w:type="spellStart"/>
      <w:r>
        <w:rPr>
          <w:rFonts w:ascii="Arial" w:eastAsia="Arial" w:hAnsi="Arial" w:cs="Arial"/>
          <w:color w:val="000000"/>
        </w:rPr>
        <w:t>Morcott</w:t>
      </w:r>
      <w:proofErr w:type="spellEnd"/>
      <w:r>
        <w:rPr>
          <w:rFonts w:ascii="Arial" w:eastAsia="Arial" w:hAnsi="Arial" w:cs="Arial"/>
          <w:color w:val="000000"/>
        </w:rPr>
        <w:t xml:space="preserve"> shown as yellow on the plan</w:t>
      </w:r>
      <w:r>
        <w:rPr>
          <w:rFonts w:ascii="Arial" w:eastAsia="Arial" w:hAnsi="Arial" w:cs="Arial"/>
          <w:color w:val="000000"/>
        </w:rPr>
        <w:t xml:space="preserve"> attached to the Order.</w:t>
      </w:r>
    </w:p>
    <w:p w14:paraId="2F86CF56" w14:textId="77777777" w:rsidR="004B2167" w:rsidRDefault="00B163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br/>
        <w:t>2.</w:t>
      </w:r>
      <w:r>
        <w:rPr>
          <w:rFonts w:ascii="Arial" w:eastAsia="Arial" w:hAnsi="Arial" w:cs="Arial"/>
          <w:color w:val="000000"/>
        </w:rPr>
        <w:t>  The Order is made to avoid obstruction of the highway specified in paragraph 1 during the following event, reopening of CA waste site.</w:t>
      </w:r>
    </w:p>
    <w:p w14:paraId="61CCD9E7" w14:textId="77777777" w:rsidR="004B2167" w:rsidRDefault="004B2167">
      <w:pPr>
        <w:widowControl w:val="0"/>
        <w:pBdr>
          <w:top w:val="nil"/>
          <w:left w:val="nil"/>
          <w:bottom w:val="nil"/>
          <w:right w:val="nil"/>
          <w:between w:val="nil"/>
        </w:pBdr>
        <w:spacing w:after="0" w:line="240" w:lineRule="auto"/>
        <w:rPr>
          <w:rFonts w:ascii="Arial" w:eastAsia="Arial" w:hAnsi="Arial" w:cs="Arial"/>
          <w:color w:val="000000"/>
        </w:rPr>
      </w:pPr>
    </w:p>
    <w:p w14:paraId="0AD04D96" w14:textId="77777777" w:rsidR="004B2167" w:rsidRDefault="00B163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3.</w:t>
      </w:r>
      <w:r>
        <w:rPr>
          <w:rFonts w:ascii="Arial" w:eastAsia="Arial" w:hAnsi="Arial" w:cs="Arial"/>
          <w:color w:val="000000"/>
        </w:rPr>
        <w:t>  The Order shall come into operation at 08:00 on 18</w:t>
      </w:r>
      <w:r>
        <w:rPr>
          <w:rFonts w:ascii="Arial" w:eastAsia="Arial" w:hAnsi="Arial" w:cs="Arial"/>
          <w:color w:val="000000"/>
          <w:vertAlign w:val="superscript"/>
        </w:rPr>
        <w:t>th</w:t>
      </w:r>
      <w:r>
        <w:rPr>
          <w:rFonts w:ascii="Arial" w:eastAsia="Arial" w:hAnsi="Arial" w:cs="Arial"/>
          <w:color w:val="000000"/>
        </w:rPr>
        <w:t xml:space="preserve"> May 2020 and will remain in force </w:t>
      </w:r>
      <w:r>
        <w:rPr>
          <w:rFonts w:ascii="Arial" w:eastAsia="Arial" w:hAnsi="Arial" w:cs="Arial"/>
          <w:color w:val="000000"/>
        </w:rPr>
        <w:t>until 18:00 on 1</w:t>
      </w:r>
      <w:r>
        <w:rPr>
          <w:rFonts w:ascii="Arial" w:eastAsia="Arial" w:hAnsi="Arial" w:cs="Arial"/>
          <w:color w:val="000000"/>
          <w:vertAlign w:val="superscript"/>
        </w:rPr>
        <w:t>st</w:t>
      </w:r>
      <w:r>
        <w:rPr>
          <w:rFonts w:ascii="Arial" w:eastAsia="Arial" w:hAnsi="Arial" w:cs="Arial"/>
          <w:color w:val="000000"/>
        </w:rPr>
        <w:t xml:space="preserve"> June 2020.</w:t>
      </w:r>
    </w:p>
    <w:p w14:paraId="743D1EB9" w14:textId="77777777" w:rsidR="004B2167" w:rsidRDefault="004B2167">
      <w:pPr>
        <w:widowControl w:val="0"/>
        <w:pBdr>
          <w:top w:val="nil"/>
          <w:left w:val="nil"/>
          <w:bottom w:val="nil"/>
          <w:right w:val="nil"/>
          <w:between w:val="nil"/>
        </w:pBdr>
        <w:spacing w:after="0" w:line="240" w:lineRule="auto"/>
        <w:rPr>
          <w:rFonts w:ascii="Arial" w:eastAsia="Arial" w:hAnsi="Arial" w:cs="Arial"/>
          <w:color w:val="000000"/>
        </w:rPr>
      </w:pPr>
    </w:p>
    <w:p w14:paraId="67D097FD" w14:textId="77777777" w:rsidR="004B2167" w:rsidRDefault="00B163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4.</w:t>
      </w:r>
      <w:r>
        <w:rPr>
          <w:rFonts w:ascii="Arial" w:eastAsia="Arial" w:hAnsi="Arial" w:cs="Arial"/>
          <w:color w:val="000000"/>
        </w:rPr>
        <w:t>  While the Order is in operation, traffic including bicycle and pedestrian movement along the highway specified in paragraph 1 will be temporarily restricted (except for emergency access) between 08:00 and 18:00.</w:t>
      </w:r>
    </w:p>
    <w:p w14:paraId="4863BD9F" w14:textId="77777777" w:rsidR="004B2167" w:rsidRDefault="004B2167">
      <w:pPr>
        <w:widowControl w:val="0"/>
        <w:pBdr>
          <w:top w:val="nil"/>
          <w:left w:val="nil"/>
          <w:bottom w:val="nil"/>
          <w:right w:val="nil"/>
          <w:between w:val="nil"/>
        </w:pBdr>
        <w:spacing w:after="0" w:line="240" w:lineRule="auto"/>
        <w:rPr>
          <w:rFonts w:ascii="Arial" w:eastAsia="Arial" w:hAnsi="Arial" w:cs="Arial"/>
          <w:color w:val="000000"/>
        </w:rPr>
      </w:pPr>
    </w:p>
    <w:p w14:paraId="356E4824" w14:textId="77777777" w:rsidR="004B2167" w:rsidRDefault="00B163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5.</w:t>
      </w:r>
      <w:r>
        <w:rPr>
          <w:rFonts w:ascii="Arial" w:eastAsia="Arial" w:hAnsi="Arial" w:cs="Arial"/>
          <w:color w:val="000000"/>
        </w:rPr>
        <w:t>  An a</w:t>
      </w:r>
      <w:r>
        <w:rPr>
          <w:rFonts w:ascii="Arial" w:eastAsia="Arial" w:hAnsi="Arial" w:cs="Arial"/>
          <w:color w:val="000000"/>
        </w:rPr>
        <w:t>lternative route will be available for use while the Order is in force, the route will be via High Street, Stamford Road, Back Lane, North Luffenham Road and Pilton Road as shown blue on the attached Plan.</w:t>
      </w:r>
    </w:p>
    <w:p w14:paraId="62D25C93" w14:textId="77777777" w:rsidR="004B2167" w:rsidRDefault="004B2167">
      <w:pPr>
        <w:widowControl w:val="0"/>
        <w:pBdr>
          <w:top w:val="nil"/>
          <w:left w:val="nil"/>
          <w:bottom w:val="nil"/>
          <w:right w:val="nil"/>
          <w:between w:val="nil"/>
        </w:pBdr>
        <w:spacing w:after="0" w:line="240" w:lineRule="auto"/>
        <w:rPr>
          <w:rFonts w:ascii="Arial" w:eastAsia="Arial" w:hAnsi="Arial" w:cs="Arial"/>
          <w:color w:val="000000"/>
        </w:rPr>
      </w:pPr>
    </w:p>
    <w:p w14:paraId="3B3668E4" w14:textId="77777777" w:rsidR="004B2167" w:rsidRDefault="00B163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6.</w:t>
      </w:r>
      <w:r>
        <w:rPr>
          <w:rFonts w:ascii="Arial" w:eastAsia="Arial" w:hAnsi="Arial" w:cs="Arial"/>
          <w:color w:val="000000"/>
        </w:rPr>
        <w:t>  All restrictions will be signed [and staffed]</w:t>
      </w:r>
      <w:r>
        <w:rPr>
          <w:rFonts w:ascii="Arial" w:eastAsia="Arial" w:hAnsi="Arial" w:cs="Arial"/>
          <w:color w:val="000000"/>
        </w:rPr>
        <w:t xml:space="preserve"> and will remain in force only for as long as is necessary.</w:t>
      </w:r>
    </w:p>
    <w:p w14:paraId="3162C57A" w14:textId="77777777" w:rsidR="004B2167" w:rsidRDefault="004B2167">
      <w:pPr>
        <w:widowControl w:val="0"/>
        <w:pBdr>
          <w:top w:val="nil"/>
          <w:left w:val="nil"/>
          <w:bottom w:val="nil"/>
          <w:right w:val="nil"/>
          <w:between w:val="nil"/>
        </w:pBdr>
        <w:spacing w:after="0" w:line="240" w:lineRule="auto"/>
        <w:rPr>
          <w:rFonts w:ascii="Arial" w:eastAsia="Arial" w:hAnsi="Arial" w:cs="Arial"/>
          <w:color w:val="000000"/>
        </w:rPr>
      </w:pPr>
    </w:p>
    <w:p w14:paraId="353E9A36" w14:textId="77777777" w:rsidR="004B2167" w:rsidRDefault="00B163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7.</w:t>
      </w:r>
      <w:r>
        <w:rPr>
          <w:rFonts w:ascii="Arial" w:eastAsia="Arial" w:hAnsi="Arial" w:cs="Arial"/>
          <w:color w:val="000000"/>
        </w:rPr>
        <w:t>  Nothing in the Order will apply to:</w:t>
      </w:r>
    </w:p>
    <w:p w14:paraId="3DAEC8A2" w14:textId="77777777" w:rsidR="004B2167" w:rsidRDefault="00B163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w:t>
      </w:r>
    </w:p>
    <w:p w14:paraId="7553BF79" w14:textId="77777777" w:rsidR="004B2167" w:rsidRDefault="00B16312">
      <w:pPr>
        <w:widowControl w:val="0"/>
        <w:numPr>
          <w:ilvl w:val="0"/>
          <w:numId w:val="1"/>
        </w:numPr>
        <w:pBdr>
          <w:top w:val="nil"/>
          <w:left w:val="nil"/>
          <w:bottom w:val="nil"/>
          <w:right w:val="nil"/>
          <w:between w:val="nil"/>
        </w:pBdr>
        <w:spacing w:after="0" w:line="240" w:lineRule="auto"/>
        <w:ind w:left="480" w:hanging="360"/>
      </w:pPr>
      <w:r>
        <w:rPr>
          <w:rFonts w:ascii="Arial" w:eastAsia="Arial" w:hAnsi="Arial" w:cs="Arial"/>
          <w:color w:val="000000"/>
        </w:rPr>
        <w:t>Anything done with the permission of or at the direction of a police officer, an officer of the Council or its agents.</w:t>
      </w:r>
    </w:p>
    <w:p w14:paraId="28E56FE2" w14:textId="77777777" w:rsidR="004B2167" w:rsidRDefault="00B16312">
      <w:pPr>
        <w:widowControl w:val="0"/>
        <w:numPr>
          <w:ilvl w:val="0"/>
          <w:numId w:val="2"/>
        </w:numPr>
        <w:pBdr>
          <w:top w:val="nil"/>
          <w:left w:val="nil"/>
          <w:bottom w:val="nil"/>
          <w:right w:val="nil"/>
          <w:between w:val="nil"/>
        </w:pBdr>
        <w:spacing w:after="180" w:line="240" w:lineRule="auto"/>
        <w:ind w:left="480" w:hanging="360"/>
      </w:pPr>
      <w:r>
        <w:rPr>
          <w:rFonts w:ascii="Arial" w:eastAsia="Arial" w:hAnsi="Arial" w:cs="Arial"/>
          <w:color w:val="000000"/>
        </w:rPr>
        <w:t>Any vehicle being used for Council, police, fire brigade or ambulance purposes or the purposes of a statutory undertaker in an emergency,</w:t>
      </w:r>
      <w:r>
        <w:rPr>
          <w:rFonts w:ascii="Arial" w:eastAsia="Arial" w:hAnsi="Arial" w:cs="Arial"/>
          <w:color w:val="000000"/>
        </w:rPr>
        <w:t xml:space="preserve"> such as the loss of supplies of gas, electricity or water to premises in the area, which requires vehicles to be brought onto a section of highway to which the Order applies.</w:t>
      </w:r>
    </w:p>
    <w:p w14:paraId="0501EC60" w14:textId="77777777" w:rsidR="004B2167" w:rsidRDefault="00B16312">
      <w:pPr>
        <w:widowControl w:val="0"/>
        <w:pBdr>
          <w:top w:val="nil"/>
          <w:left w:val="nil"/>
          <w:bottom w:val="nil"/>
          <w:right w:val="nil"/>
          <w:between w:val="nil"/>
        </w:pBdr>
        <w:spacing w:before="200" w:after="0" w:line="240" w:lineRule="auto"/>
        <w:rPr>
          <w:rFonts w:ascii="Arial" w:eastAsia="Arial" w:hAnsi="Arial" w:cs="Arial"/>
          <w:color w:val="000000"/>
        </w:rPr>
      </w:pPr>
      <w:r>
        <w:rPr>
          <w:rFonts w:ascii="Arial" w:eastAsia="Arial" w:hAnsi="Arial" w:cs="Arial"/>
          <w:b/>
          <w:color w:val="000000"/>
        </w:rPr>
        <w:t>8.</w:t>
      </w:r>
      <w:r>
        <w:rPr>
          <w:rFonts w:ascii="Arial" w:eastAsia="Arial" w:hAnsi="Arial" w:cs="Arial"/>
          <w:color w:val="000000"/>
        </w:rPr>
        <w:t>  Access to properties adjoining the highway specified in paragraph 1 will not be affected by the Order.</w:t>
      </w:r>
    </w:p>
    <w:p w14:paraId="35D5C5FD" w14:textId="77777777" w:rsidR="004B2167" w:rsidRDefault="004B2167">
      <w:pPr>
        <w:widowControl w:val="0"/>
        <w:pBdr>
          <w:top w:val="nil"/>
          <w:left w:val="nil"/>
          <w:bottom w:val="nil"/>
          <w:right w:val="nil"/>
          <w:between w:val="nil"/>
        </w:pBdr>
        <w:spacing w:after="0" w:line="240" w:lineRule="auto"/>
        <w:rPr>
          <w:rFonts w:ascii="Arial" w:eastAsia="Arial" w:hAnsi="Arial" w:cs="Arial"/>
          <w:color w:val="000000"/>
        </w:rPr>
      </w:pPr>
    </w:p>
    <w:p w14:paraId="65194DB4" w14:textId="77777777" w:rsidR="004B2167" w:rsidRDefault="00B163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9.</w:t>
      </w:r>
      <w:r>
        <w:rPr>
          <w:rFonts w:ascii="Arial" w:eastAsia="Arial" w:hAnsi="Arial" w:cs="Arial"/>
          <w:color w:val="000000"/>
        </w:rPr>
        <w:t>  The promoter of the event is the Council.</w:t>
      </w:r>
    </w:p>
    <w:p w14:paraId="16C6E795" w14:textId="77777777" w:rsidR="004B2167" w:rsidRDefault="004B2167">
      <w:pPr>
        <w:widowControl w:val="0"/>
        <w:pBdr>
          <w:top w:val="nil"/>
          <w:left w:val="nil"/>
          <w:bottom w:val="nil"/>
          <w:right w:val="nil"/>
          <w:between w:val="nil"/>
        </w:pBdr>
        <w:spacing w:after="0" w:line="240" w:lineRule="auto"/>
        <w:rPr>
          <w:rFonts w:ascii="Arial" w:eastAsia="Arial" w:hAnsi="Arial" w:cs="Arial"/>
          <w:color w:val="000000"/>
        </w:rPr>
      </w:pPr>
    </w:p>
    <w:p w14:paraId="67AEF5E6" w14:textId="77777777" w:rsidR="004B2167" w:rsidRDefault="00B163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10.</w:t>
      </w:r>
      <w:r>
        <w:rPr>
          <w:rFonts w:ascii="Arial" w:eastAsia="Arial" w:hAnsi="Arial" w:cs="Arial"/>
          <w:color w:val="000000"/>
        </w:rPr>
        <w:t>  For further information about the proposed restrictions, or the event [or the alternative route] p</w:t>
      </w:r>
      <w:r>
        <w:rPr>
          <w:rFonts w:ascii="Arial" w:eastAsia="Arial" w:hAnsi="Arial" w:cs="Arial"/>
          <w:color w:val="000000"/>
        </w:rPr>
        <w:t>lease contact Rutland County Council.</w:t>
      </w:r>
    </w:p>
    <w:p w14:paraId="3E1C704A" w14:textId="77777777" w:rsidR="004B2167" w:rsidRDefault="004B2167">
      <w:pPr>
        <w:widowControl w:val="0"/>
        <w:pBdr>
          <w:top w:val="nil"/>
          <w:left w:val="nil"/>
          <w:bottom w:val="nil"/>
          <w:right w:val="nil"/>
          <w:between w:val="nil"/>
        </w:pBdr>
        <w:spacing w:after="0" w:line="240" w:lineRule="auto"/>
        <w:rPr>
          <w:rFonts w:ascii="Arial" w:eastAsia="Arial" w:hAnsi="Arial" w:cs="Arial"/>
          <w:color w:val="000000"/>
        </w:rPr>
      </w:pPr>
    </w:p>
    <w:p w14:paraId="640CAAC3" w14:textId="77777777" w:rsidR="004B2167" w:rsidRDefault="00B163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11.</w:t>
      </w:r>
      <w:r>
        <w:rPr>
          <w:rFonts w:ascii="Arial" w:eastAsia="Arial" w:hAnsi="Arial" w:cs="Arial"/>
          <w:color w:val="000000"/>
        </w:rPr>
        <w:t xml:space="preserve">  A copy of the Notice and Plan may be viewed on </w:t>
      </w:r>
      <w:hyperlink r:id="rId7">
        <w:r>
          <w:rPr>
            <w:rFonts w:ascii="Arial" w:eastAsia="Arial" w:hAnsi="Arial" w:cs="Arial"/>
            <w:color w:val="0563C1"/>
            <w:u w:val="single"/>
          </w:rPr>
          <w:t>https://one.network</w:t>
        </w:r>
      </w:hyperlink>
      <w:r>
        <w:rPr>
          <w:rFonts w:ascii="Arial" w:eastAsia="Arial" w:hAnsi="Arial" w:cs="Arial"/>
          <w:color w:val="000000"/>
        </w:rPr>
        <w:t xml:space="preserve"> </w:t>
      </w:r>
    </w:p>
    <w:p w14:paraId="54FFD98C" w14:textId="77777777" w:rsidR="004B2167" w:rsidRDefault="00B163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w:t>
      </w:r>
    </w:p>
    <w:tbl>
      <w:tblPr>
        <w:tblStyle w:val="a"/>
        <w:tblW w:w="100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2"/>
        <w:gridCol w:w="2266"/>
        <w:gridCol w:w="3911"/>
      </w:tblGrid>
      <w:tr w:rsidR="004B2167" w14:paraId="5F5F617A" w14:textId="77777777">
        <w:tc>
          <w:tcPr>
            <w:tcW w:w="3911" w:type="dxa"/>
            <w:shd w:val="clear" w:color="auto" w:fill="auto"/>
            <w:tcMar>
              <w:top w:w="0" w:type="dxa"/>
              <w:left w:w="0" w:type="dxa"/>
              <w:bottom w:w="0" w:type="dxa"/>
              <w:right w:w="0" w:type="dxa"/>
            </w:tcMar>
          </w:tcPr>
          <w:p w14:paraId="7649C079" w14:textId="77777777" w:rsidR="004B2167" w:rsidRDefault="004B2167">
            <w:pPr>
              <w:widowControl w:val="0"/>
              <w:pBdr>
                <w:top w:val="nil"/>
                <w:left w:val="nil"/>
                <w:bottom w:val="nil"/>
                <w:right w:val="nil"/>
                <w:between w:val="nil"/>
              </w:pBdr>
              <w:spacing w:after="0" w:line="240" w:lineRule="auto"/>
              <w:rPr>
                <w:rFonts w:ascii="Arial" w:eastAsia="Arial" w:hAnsi="Arial" w:cs="Arial"/>
                <w:color w:val="000000"/>
              </w:rPr>
            </w:pPr>
          </w:p>
        </w:tc>
        <w:tc>
          <w:tcPr>
            <w:tcW w:w="2266" w:type="dxa"/>
            <w:shd w:val="clear" w:color="auto" w:fill="auto"/>
            <w:tcMar>
              <w:top w:w="0" w:type="dxa"/>
              <w:left w:w="0" w:type="dxa"/>
              <w:bottom w:w="0" w:type="dxa"/>
              <w:right w:w="0" w:type="dxa"/>
            </w:tcMar>
          </w:tcPr>
          <w:p w14:paraId="0669E263" w14:textId="77777777" w:rsidR="004B2167" w:rsidRDefault="00B16312">
            <w:pPr>
              <w:widowControl w:val="0"/>
              <w:pBdr>
                <w:top w:val="nil"/>
                <w:left w:val="nil"/>
                <w:bottom w:val="nil"/>
                <w:right w:val="nil"/>
                <w:between w:val="nil"/>
              </w:pBdr>
              <w:spacing w:after="0" w:line="240" w:lineRule="auto"/>
              <w:rPr>
                <w:rFonts w:ascii="Arial" w:eastAsia="Arial" w:hAnsi="Arial" w:cs="Arial"/>
                <w:b/>
                <w:color w:val="505050"/>
              </w:rPr>
            </w:pPr>
            <w:r>
              <w:rPr>
                <w:rFonts w:ascii="Arial" w:eastAsia="Arial" w:hAnsi="Arial" w:cs="Arial"/>
                <w:b/>
                <w:color w:val="505050"/>
              </w:rPr>
              <w:t>END OF DOCUMENT</w:t>
            </w:r>
          </w:p>
        </w:tc>
        <w:tc>
          <w:tcPr>
            <w:tcW w:w="3911" w:type="dxa"/>
            <w:shd w:val="clear" w:color="auto" w:fill="auto"/>
            <w:tcMar>
              <w:top w:w="0" w:type="dxa"/>
              <w:left w:w="0" w:type="dxa"/>
              <w:bottom w:w="0" w:type="dxa"/>
              <w:right w:w="0" w:type="dxa"/>
            </w:tcMar>
          </w:tcPr>
          <w:p w14:paraId="271EB055" w14:textId="77777777" w:rsidR="004B2167" w:rsidRDefault="004B2167">
            <w:pPr>
              <w:widowControl w:val="0"/>
              <w:pBdr>
                <w:top w:val="nil"/>
                <w:left w:val="nil"/>
                <w:bottom w:val="nil"/>
                <w:right w:val="nil"/>
                <w:between w:val="nil"/>
              </w:pBdr>
              <w:spacing w:after="0" w:line="240" w:lineRule="auto"/>
              <w:rPr>
                <w:rFonts w:ascii="Arial" w:eastAsia="Arial" w:hAnsi="Arial" w:cs="Arial"/>
                <w:b/>
                <w:color w:val="505050"/>
              </w:rPr>
            </w:pPr>
          </w:p>
        </w:tc>
      </w:tr>
    </w:tbl>
    <w:p w14:paraId="692B72CA" w14:textId="77777777" w:rsidR="004B2167" w:rsidRDefault="004B2167">
      <w:pPr>
        <w:widowControl w:val="0"/>
        <w:pBdr>
          <w:top w:val="nil"/>
          <w:left w:val="nil"/>
          <w:bottom w:val="nil"/>
          <w:right w:val="nil"/>
          <w:between w:val="nil"/>
        </w:pBdr>
        <w:spacing w:after="0" w:line="240" w:lineRule="auto"/>
        <w:rPr>
          <w:rFonts w:ascii="Arial" w:eastAsia="Arial" w:hAnsi="Arial" w:cs="Arial"/>
          <w:b/>
          <w:color w:val="505050"/>
        </w:rPr>
      </w:pPr>
      <w:bookmarkStart w:id="0" w:name="gjdgxs" w:colFirst="0" w:colLast="0"/>
      <w:bookmarkEnd w:id="0"/>
    </w:p>
    <w:p w14:paraId="42DF97AF" w14:textId="77777777" w:rsidR="004B2167" w:rsidRDefault="00B16312">
      <w:pPr>
        <w:widowControl w:val="0"/>
        <w:pBdr>
          <w:top w:val="nil"/>
          <w:left w:val="nil"/>
          <w:bottom w:val="nil"/>
          <w:right w:val="nil"/>
          <w:between w:val="nil"/>
        </w:pBdr>
        <w:spacing w:after="0" w:line="240" w:lineRule="auto"/>
        <w:rPr>
          <w:rFonts w:ascii="Arial" w:eastAsia="Arial" w:hAnsi="Arial" w:cs="Arial"/>
          <w:b/>
          <w:color w:val="505050"/>
          <w:sz w:val="36"/>
          <w:szCs w:val="36"/>
        </w:rPr>
      </w:pPr>
      <w:r>
        <w:rPr>
          <w:rFonts w:ascii="Arial" w:eastAsia="Arial" w:hAnsi="Arial" w:cs="Arial"/>
          <w:b/>
          <w:noProof/>
          <w:color w:val="505050"/>
          <w:sz w:val="36"/>
          <w:szCs w:val="36"/>
        </w:rPr>
        <w:lastRenderedPageBreak/>
        <w:drawing>
          <wp:inline distT="0" distB="0" distL="114300" distR="114300" wp14:anchorId="16CAE86C" wp14:editId="01433488">
            <wp:extent cx="6775704" cy="798271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775704" cy="7982712"/>
                    </a:xfrm>
                    <a:prstGeom prst="rect">
                      <a:avLst/>
                    </a:prstGeom>
                    <a:ln/>
                  </pic:spPr>
                </pic:pic>
              </a:graphicData>
            </a:graphic>
          </wp:inline>
        </w:drawing>
      </w:r>
    </w:p>
    <w:sectPr w:rsidR="004B2167">
      <w:headerReference w:type="default" r:id="rId9"/>
      <w:footerReference w:type="default" r:id="rId10"/>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1382F" w14:textId="77777777" w:rsidR="00B16312" w:rsidRDefault="00B16312">
      <w:pPr>
        <w:spacing w:after="0" w:line="240" w:lineRule="auto"/>
      </w:pPr>
      <w:r>
        <w:separator/>
      </w:r>
    </w:p>
  </w:endnote>
  <w:endnote w:type="continuationSeparator" w:id="0">
    <w:p w14:paraId="541B20C5" w14:textId="77777777" w:rsidR="00B16312" w:rsidRDefault="00B1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1EA6" w14:textId="77777777" w:rsidR="004B2167" w:rsidRDefault="004B2167">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10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gridCol w:w="700"/>
    </w:tblGrid>
    <w:tr w:rsidR="004B2167" w14:paraId="272B3F16" w14:textId="77777777">
      <w:tc>
        <w:tcPr>
          <w:tcW w:w="9300" w:type="dxa"/>
          <w:shd w:val="clear" w:color="auto" w:fill="auto"/>
          <w:tcMar>
            <w:top w:w="60" w:type="dxa"/>
            <w:left w:w="0" w:type="dxa"/>
            <w:bottom w:w="0" w:type="dxa"/>
            <w:right w:w="0" w:type="dxa"/>
          </w:tcMar>
          <w:vAlign w:val="bottom"/>
        </w:tcPr>
        <w:p w14:paraId="087985FF" w14:textId="77777777" w:rsidR="004B2167" w:rsidRDefault="00B16312">
          <w:pPr>
            <w:widowControl w:val="0"/>
            <w:pBdr>
              <w:top w:val="nil"/>
              <w:left w:val="nil"/>
              <w:bottom w:val="nil"/>
              <w:right w:val="nil"/>
              <w:between w:val="nil"/>
            </w:pBdr>
            <w:spacing w:after="0" w:line="240" w:lineRule="auto"/>
            <w:rPr>
              <w:rFonts w:ascii="Arial" w:eastAsia="Arial" w:hAnsi="Arial" w:cs="Arial"/>
              <w:color w:val="AAAAAA"/>
              <w:sz w:val="20"/>
              <w:szCs w:val="20"/>
            </w:rPr>
          </w:pPr>
          <w:r>
            <w:rPr>
              <w:rFonts w:ascii="Arial" w:eastAsia="Arial" w:hAnsi="Arial" w:cs="Arial"/>
              <w:color w:val="AAAAAA"/>
              <w:sz w:val="20"/>
              <w:szCs w:val="20"/>
            </w:rPr>
            <w:t>© 2020 Thomson Reuters. All rights reserved.</w:t>
          </w:r>
        </w:p>
      </w:tc>
      <w:tc>
        <w:tcPr>
          <w:tcW w:w="700" w:type="dxa"/>
          <w:shd w:val="clear" w:color="auto" w:fill="auto"/>
          <w:tcMar>
            <w:top w:w="60" w:type="dxa"/>
            <w:left w:w="0" w:type="dxa"/>
            <w:bottom w:w="0" w:type="dxa"/>
            <w:right w:w="0" w:type="dxa"/>
          </w:tcMar>
        </w:tcPr>
        <w:p w14:paraId="39164A40" w14:textId="77777777" w:rsidR="004B2167" w:rsidRDefault="00B16312">
          <w:pPr>
            <w:widowControl w:val="0"/>
            <w:pBdr>
              <w:top w:val="nil"/>
              <w:left w:val="nil"/>
              <w:bottom w:val="nil"/>
              <w:right w:val="nil"/>
              <w:between w:val="nil"/>
            </w:pBdr>
            <w:spacing w:after="0" w:line="240" w:lineRule="auto"/>
            <w:jc w:val="right"/>
            <w:rPr>
              <w:rFonts w:ascii="Arial" w:eastAsia="Arial" w:hAnsi="Arial" w:cs="Arial"/>
              <w:color w:val="AAAAAA"/>
              <w:sz w:val="20"/>
              <w:szCs w:val="20"/>
            </w:rPr>
          </w:pPr>
          <w:r>
            <w:rPr>
              <w:rFonts w:ascii="Arial" w:eastAsia="Arial" w:hAnsi="Arial" w:cs="Arial"/>
              <w:color w:val="AAAAAA"/>
              <w:sz w:val="20"/>
              <w:szCs w:val="20"/>
            </w:rPr>
            <w:fldChar w:fldCharType="begin"/>
          </w:r>
          <w:r>
            <w:rPr>
              <w:rFonts w:ascii="Arial" w:eastAsia="Arial" w:hAnsi="Arial" w:cs="Arial"/>
              <w:color w:val="AAAAAA"/>
              <w:sz w:val="20"/>
              <w:szCs w:val="20"/>
            </w:rPr>
            <w:instrText>PAGE</w:instrText>
          </w:r>
          <w:r w:rsidR="006E6230">
            <w:rPr>
              <w:rFonts w:ascii="Arial" w:eastAsia="Arial" w:hAnsi="Arial" w:cs="Arial"/>
              <w:color w:val="AAAAAA"/>
              <w:sz w:val="20"/>
              <w:szCs w:val="20"/>
            </w:rPr>
            <w:fldChar w:fldCharType="separate"/>
          </w:r>
          <w:r w:rsidR="006E6230">
            <w:rPr>
              <w:rFonts w:ascii="Arial" w:eastAsia="Arial" w:hAnsi="Arial" w:cs="Arial"/>
              <w:noProof/>
              <w:color w:val="AAAAAA"/>
              <w:sz w:val="20"/>
              <w:szCs w:val="20"/>
            </w:rPr>
            <w:t>1</w:t>
          </w:r>
          <w:r>
            <w:rPr>
              <w:rFonts w:ascii="Arial" w:eastAsia="Arial" w:hAnsi="Arial" w:cs="Arial"/>
              <w:color w:val="AAAAAA"/>
              <w:sz w:val="20"/>
              <w:szCs w:val="20"/>
            </w:rPr>
            <w:fldChar w:fldCharType="end"/>
          </w:r>
        </w:p>
      </w:tc>
    </w:tr>
  </w:tbl>
  <w:p w14:paraId="411FED8F" w14:textId="77777777" w:rsidR="004B2167" w:rsidRDefault="004B2167">
    <w:pPr>
      <w:widowControl w:val="0"/>
      <w:pBdr>
        <w:top w:val="nil"/>
        <w:left w:val="nil"/>
        <w:bottom w:val="nil"/>
        <w:right w:val="nil"/>
        <w:between w:val="nil"/>
      </w:pBdr>
      <w:spacing w:after="0" w:line="240" w:lineRule="auto"/>
      <w:rPr>
        <w:rFonts w:ascii="Arial" w:eastAsia="Arial" w:hAnsi="Arial" w:cs="Arial"/>
        <w:color w:val="AAAAA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E6C5D" w14:textId="77777777" w:rsidR="00B16312" w:rsidRDefault="00B16312">
      <w:pPr>
        <w:spacing w:after="0" w:line="240" w:lineRule="auto"/>
      </w:pPr>
      <w:r>
        <w:separator/>
      </w:r>
    </w:p>
  </w:footnote>
  <w:footnote w:type="continuationSeparator" w:id="0">
    <w:p w14:paraId="78F39DE3" w14:textId="77777777" w:rsidR="00B16312" w:rsidRDefault="00B16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63AFC" w14:textId="77777777" w:rsidR="004B2167" w:rsidRDefault="004B2167">
    <w:pPr>
      <w:widowControl w:val="0"/>
      <w:pBdr>
        <w:top w:val="nil"/>
        <w:left w:val="nil"/>
        <w:bottom w:val="nil"/>
        <w:right w:val="nil"/>
        <w:between w:val="nil"/>
      </w:pBdr>
      <w:spacing w:after="0" w:line="240" w:lineRule="auto"/>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FA0"/>
    <w:multiLevelType w:val="multilevel"/>
    <w:tmpl w:val="E042F604"/>
    <w:lvl w:ilvl="0">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4AFE49B4"/>
    <w:multiLevelType w:val="multilevel"/>
    <w:tmpl w:val="A7469ABE"/>
    <w:lvl w:ilvl="0">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167"/>
    <w:rsid w:val="004B2167"/>
    <w:rsid w:val="006E6230"/>
    <w:rsid w:val="00B1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08C8"/>
  <w15:docId w15:val="{D5192E2D-0CD0-40A0-813E-746FF956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one.net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nlparishclerk</dc:creator>
  <cp:lastModifiedBy>NL Parish Clerk</cp:lastModifiedBy>
  <cp:revision>2</cp:revision>
  <dcterms:created xsi:type="dcterms:W3CDTF">2020-05-12T12:48:00Z</dcterms:created>
  <dcterms:modified xsi:type="dcterms:W3CDTF">2020-05-12T12:48:00Z</dcterms:modified>
</cp:coreProperties>
</file>